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686" w14:textId="0D040E7B" w:rsidR="00DA790F" w:rsidRPr="00AE27EB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AE27EB">
        <w:t>Docket</w:t>
      </w:r>
      <w:r w:rsidR="00DA790F" w:rsidRPr="00AE27EB">
        <w:t xml:space="preserve"> N</w:t>
      </w:r>
      <w:r w:rsidR="007F3AB5" w:rsidRPr="00AE27EB">
        <w:t>o</w:t>
      </w:r>
      <w:r w:rsidR="00DA790F" w:rsidRPr="00AE27EB">
        <w:t>.</w:t>
      </w:r>
      <w:bookmarkStart w:id="1" w:name="DocNo"/>
      <w:r w:rsidR="001F47C0" w:rsidRPr="00AE27EB">
        <w:t xml:space="preserve"> </w:t>
      </w:r>
      <w:r w:rsidR="001C24B8">
        <w:t>56272</w:t>
      </w:r>
      <w:r w:rsidR="00DF17B9" w:rsidRPr="00AE27EB">
        <w:t xml:space="preserve"> </w:t>
      </w:r>
      <w:bookmarkEnd w:id="0"/>
      <w:bookmarkEnd w:id="1"/>
    </w:p>
    <w:tbl>
      <w:tblPr>
        <w:tblW w:w="9540" w:type="dxa"/>
        <w:tblLook w:val="01E0" w:firstRow="1" w:lastRow="1" w:firstColumn="1" w:lastColumn="1" w:noHBand="0" w:noVBand="0"/>
        <w:tblCaption w:val="Case Caption"/>
      </w:tblPr>
      <w:tblGrid>
        <w:gridCol w:w="4770"/>
        <w:gridCol w:w="450"/>
        <w:gridCol w:w="4320"/>
      </w:tblGrid>
      <w:tr w:rsidR="00DA790F" w:rsidRPr="00AE27EB" w14:paraId="2A0B870D" w14:textId="77777777" w:rsidTr="00962B33">
        <w:trPr>
          <w:trHeight w:val="576"/>
        </w:trPr>
        <w:tc>
          <w:tcPr>
            <w:tcW w:w="4770" w:type="dxa"/>
          </w:tcPr>
          <w:p w14:paraId="232CA866" w14:textId="77777777" w:rsidR="001C24B8" w:rsidRDefault="001C24B8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1C24B8">
              <w:rPr>
                <w:b/>
                <w:caps/>
                <w:szCs w:val="20"/>
              </w:rPr>
              <w:t xml:space="preserve">COMPLIANCE DOCKET FOR </w:t>
            </w:r>
          </w:p>
          <w:p w14:paraId="09A7B8B3" w14:textId="77777777" w:rsidR="001C24B8" w:rsidRDefault="001C24B8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1C24B8">
              <w:rPr>
                <w:b/>
                <w:caps/>
                <w:szCs w:val="20"/>
              </w:rPr>
              <w:t xml:space="preserve">DOCKET NO. 50788 (RATEPAYERS APPEAL OF THE DECISION BY WINDERMERE OAKS WATER </w:t>
            </w:r>
          </w:p>
          <w:p w14:paraId="408D9C09" w14:textId="03450399" w:rsidR="00E710D3" w:rsidRPr="00AE27EB" w:rsidRDefault="001C24B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1C24B8">
              <w:rPr>
                <w:b/>
                <w:caps/>
                <w:szCs w:val="20"/>
              </w:rPr>
              <w:t>SUPPLY CORPORATION TO CHANGE WATER AND SEWER RATES)</w:t>
            </w:r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13A7D871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2927325B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57AF08C5" w14:textId="77777777" w:rsidR="001C24B8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4522A339" w14:textId="77777777" w:rsidR="001C24B8" w:rsidRDefault="001C24B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75A168C8" w14:textId="77777777" w:rsidR="001C24B8" w:rsidRDefault="001C24B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6BD9840C" w14:textId="791C5E15" w:rsidR="00D836CC" w:rsidRPr="00AE27EB" w:rsidRDefault="001C24B8" w:rsidP="00722DD6">
            <w:pPr>
              <w:spacing w:after="0" w:line="276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  <w:r>
              <w:rPr>
                <w:b/>
                <w:szCs w:val="20"/>
              </w:rPr>
              <w:t xml:space="preserve"> </w:t>
            </w:r>
            <w:r w:rsidR="0093643B">
              <w:rPr>
                <w:b/>
                <w:szCs w:val="20"/>
              </w:rPr>
              <w:t xml:space="preserve"> </w:t>
            </w:r>
            <w:r w:rsidR="00D836CC">
              <w:rPr>
                <w:b/>
                <w:szCs w:val="20"/>
              </w:rPr>
              <w:t xml:space="preserve"> </w:t>
            </w:r>
          </w:p>
        </w:tc>
        <w:tc>
          <w:tcPr>
            <w:tcW w:w="4320" w:type="dxa"/>
          </w:tcPr>
          <w:p w14:paraId="12ABB447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PUBLIC UTILITY COMMISSION</w:t>
            </w:r>
          </w:p>
          <w:p w14:paraId="602FBB44" w14:textId="34C14E83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23017BE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48CBF3" w14:textId="77777777" w:rsidR="00DA790F" w:rsidRPr="00AE2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EC4F507" w14:textId="51201CAE" w:rsidR="00DA790F" w:rsidRPr="00AE27EB" w:rsidRDefault="00E52295" w:rsidP="00482B33">
      <w:pPr>
        <w:pStyle w:val="CaseCaption"/>
        <w:spacing w:line="360" w:lineRule="auto"/>
      </w:pPr>
      <w:r w:rsidRPr="00AE27EB">
        <w:t xml:space="preserve">COMMISSION </w:t>
      </w:r>
      <w:r w:rsidR="00D836CC">
        <w:t xml:space="preserve">STAFF’S </w:t>
      </w:r>
      <w:r w:rsidR="004B1D6A">
        <w:t>STATEMENT OF POSITION</w:t>
      </w:r>
    </w:p>
    <w:p w14:paraId="2824D511" w14:textId="114BB5A9" w:rsidR="00E52295" w:rsidRPr="00525A0C" w:rsidRDefault="00C24104" w:rsidP="00482B33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INTRODUCTION</w:t>
      </w:r>
    </w:p>
    <w:p w14:paraId="2454E999" w14:textId="6A1A4CD2" w:rsidR="00962B33" w:rsidRDefault="001C24B8" w:rsidP="00D836CC">
      <w:pPr>
        <w:spacing w:after="0"/>
        <w:ind w:left="72"/>
        <w:textAlignment w:val="baseline"/>
      </w:pPr>
      <w:r>
        <w:t>On March 21, 2024, Commission issued its Order in Docket No. 50788.</w:t>
      </w:r>
      <w:r>
        <w:rPr>
          <w:rStyle w:val="FootnoteReference"/>
        </w:rPr>
        <w:footnoteReference w:id="2"/>
      </w:r>
      <w:r>
        <w:t xml:space="preserve"> Ordering Paragraph No. 3 of the Commission’s Order requires Windermere Oaks Water Supply Corporation (Windermere Oaks) to refund water and sewer customers over a 45-month period or until a net amount of $884,666.62 has been refunded, whichever occurs first. Ordering Paragraph No. 4 of the Commission’s Order in Docket No. 50788 approves a monthly $39.21 surcharge per connection over a 45-month period or until $478,184.04 is collected, whichever occurs first</w:t>
      </w:r>
      <w:r w:rsidR="00731869">
        <w:t>.</w:t>
      </w:r>
    </w:p>
    <w:p w14:paraId="441374F0" w14:textId="08BD2E6B" w:rsidR="00D836CC" w:rsidRDefault="00C22719" w:rsidP="001C24B8">
      <w:pPr>
        <w:spacing w:after="0" w:line="415" w:lineRule="exact"/>
        <w:ind w:left="72"/>
        <w:textAlignment w:val="baseline"/>
      </w:pPr>
      <w:r>
        <w:t xml:space="preserve">On </w:t>
      </w:r>
      <w:r w:rsidR="001C24B8">
        <w:t>September 13</w:t>
      </w:r>
      <w:r w:rsidR="00C24104">
        <w:t>, 2024</w:t>
      </w:r>
      <w:r>
        <w:t xml:space="preserve">, the administrative law judge (ALJ) filed </w:t>
      </w:r>
      <w:r w:rsidR="004B1D6A">
        <w:t xml:space="preserve">Order No. </w:t>
      </w:r>
      <w:r w:rsidR="001C24B8">
        <w:t>5</w:t>
      </w:r>
      <w:r w:rsidR="00241C44">
        <w:t>,</w:t>
      </w:r>
      <w:r>
        <w:t xml:space="preserve"> directing </w:t>
      </w:r>
      <w:r w:rsidR="004B1D6A">
        <w:t>the Staff (Staff) of the Public Utility Commission of Texas (Commission) to file a statement of position</w:t>
      </w:r>
      <w:r>
        <w:t xml:space="preserve"> </w:t>
      </w:r>
      <w:r w:rsidR="001C24B8">
        <w:t>on the deficiencies alleged by the ratepayer representatives</w:t>
      </w:r>
      <w:r w:rsidR="00482B33">
        <w:t xml:space="preserve"> </w:t>
      </w:r>
      <w:r>
        <w:t xml:space="preserve">by </w:t>
      </w:r>
      <w:r w:rsidR="001C24B8">
        <w:t>September 30,</w:t>
      </w:r>
      <w:r>
        <w:t xml:space="preserve"> 2024</w:t>
      </w:r>
      <w:r w:rsidR="00D836CC">
        <w:t>.</w:t>
      </w:r>
      <w:r>
        <w:t xml:space="preserve"> Therefore, this pleading is timely filed.</w:t>
      </w:r>
    </w:p>
    <w:p w14:paraId="210C8EE5" w14:textId="088F4C09" w:rsidR="002E1A0B" w:rsidRDefault="001C24B8" w:rsidP="001C24B8">
      <w:pPr>
        <w:pStyle w:val="Heading1"/>
        <w:tabs>
          <w:tab w:val="clear" w:pos="1440"/>
        </w:tabs>
        <w:spacing w:after="0" w:line="360" w:lineRule="auto"/>
        <w:ind w:left="0" w:right="0"/>
      </w:pPr>
      <w:r>
        <w:t>STATEMENT OF POSITION</w:t>
      </w:r>
    </w:p>
    <w:p w14:paraId="2F008470" w14:textId="1C15EDA7" w:rsidR="004B1D6A" w:rsidRDefault="001C24B8" w:rsidP="00482B33">
      <w:pPr>
        <w:pStyle w:val="Paragraph"/>
        <w:spacing w:after="240"/>
      </w:pPr>
      <w:r w:rsidRPr="0057410F">
        <w:t>Staff</w:t>
      </w:r>
      <w:r w:rsidR="0057410F">
        <w:t xml:space="preserve"> has reviewed the deficiencies alleged by the ratepayer representatives.</w:t>
      </w:r>
    </w:p>
    <w:p w14:paraId="26476DED" w14:textId="504DCCCF" w:rsidR="006F6038" w:rsidRDefault="0001528A" w:rsidP="006F6038">
      <w:pPr>
        <w:pStyle w:val="Paragraph"/>
        <w:spacing w:after="240"/>
        <w:ind w:firstLine="0"/>
        <w:rPr>
          <w:b/>
          <w:bCs/>
          <w:i/>
          <w:iCs/>
          <w:u w:val="single"/>
        </w:rPr>
      </w:pPr>
      <w:r w:rsidRPr="00DA33F2">
        <w:rPr>
          <w:b/>
          <w:bCs/>
          <w:i/>
          <w:iCs/>
          <w:u w:val="single"/>
        </w:rPr>
        <w:t>Tenants</w:t>
      </w:r>
    </w:p>
    <w:p w14:paraId="1C6642B8" w14:textId="3E000A00" w:rsidR="00DA33F2" w:rsidRDefault="00DA33F2" w:rsidP="006B07E6">
      <w:pPr>
        <w:pStyle w:val="Paragraph"/>
        <w:ind w:firstLine="0"/>
      </w:pPr>
      <w:r>
        <w:tab/>
      </w:r>
      <w:r w:rsidR="00A676E1">
        <w:t xml:space="preserve">The ratepayer representatives allege that the </w:t>
      </w:r>
      <w:r w:rsidR="007979AB">
        <w:t>absence</w:t>
      </w:r>
      <w:r w:rsidR="00A676E1">
        <w:t xml:space="preserve"> of </w:t>
      </w:r>
      <w:r w:rsidR="007979AB">
        <w:t>customer names in the compliance reports filed by Windermere Oaks make verification of whether the correct ratepayers are being reimbursed impossible.</w:t>
      </w:r>
      <w:r w:rsidR="00C83073">
        <w:rPr>
          <w:rStyle w:val="FootnoteReference"/>
        </w:rPr>
        <w:footnoteReference w:id="3"/>
      </w:r>
      <w:r w:rsidR="007979AB">
        <w:t xml:space="preserve"> Furthermore, they allege </w:t>
      </w:r>
      <w:r w:rsidR="00054917">
        <w:t xml:space="preserve">that in the case of rental situations, tenants who paid under the owner’s account number may not be reimbursed while the owner, who did not pay </w:t>
      </w:r>
      <w:r w:rsidR="00054917">
        <w:lastRenderedPageBreak/>
        <w:t>the rates, will be reimbursed for payments they did not make.</w:t>
      </w:r>
      <w:r w:rsidR="004D5EF4">
        <w:rPr>
          <w:rStyle w:val="FootnoteReference"/>
        </w:rPr>
        <w:footnoteReference w:id="4"/>
      </w:r>
      <w:r w:rsidR="00D11E90">
        <w:t xml:space="preserve"> In response, Windermere Oaks noted that it had the information of each individual associated with each account number but did not provide that information to protect</w:t>
      </w:r>
      <w:r w:rsidR="0024232C">
        <w:t xml:space="preserve"> privacy.</w:t>
      </w:r>
      <w:r w:rsidR="004D5EF4">
        <w:rPr>
          <w:rStyle w:val="FootnoteReference"/>
        </w:rPr>
        <w:footnoteReference w:id="5"/>
      </w:r>
    </w:p>
    <w:p w14:paraId="045D1EBA" w14:textId="3B5AF3E3" w:rsidR="00305111" w:rsidRPr="00DA33F2" w:rsidRDefault="0024232C" w:rsidP="006F6038">
      <w:pPr>
        <w:pStyle w:val="Paragraph"/>
        <w:spacing w:after="240"/>
        <w:ind w:firstLine="0"/>
      </w:pPr>
      <w:r>
        <w:tab/>
        <w:t>Staff recommends that Windermere Oaks could</w:t>
      </w:r>
      <w:r w:rsidR="005D177B">
        <w:t xml:space="preserve"> confidentially</w:t>
      </w:r>
      <w:r>
        <w:t xml:space="preserve"> file a billing register </w:t>
      </w:r>
      <w:r w:rsidR="005D177B">
        <w:t>showing</w:t>
      </w:r>
      <w:r w:rsidR="002A2EC9">
        <w:t xml:space="preserve"> the</w:t>
      </w:r>
      <w:r>
        <w:t xml:space="preserve"> </w:t>
      </w:r>
      <w:r w:rsidR="005D177B">
        <w:t>individual identity</w:t>
      </w:r>
      <w:r w:rsidR="002A2EC9">
        <w:t xml:space="preserve"> of every account number</w:t>
      </w:r>
      <w:r w:rsidR="005D177B">
        <w:t xml:space="preserve"> for each of the 45 months between March 23, 2020, and December 23, 2023</w:t>
      </w:r>
      <w:r w:rsidR="006B07E6">
        <w:t xml:space="preserve"> (the eligibility period). A confidential filing would limit access to individual identity information and protect privacy. Furthermore, </w:t>
      </w:r>
      <w:r w:rsidR="00EB40BE">
        <w:t xml:space="preserve">a billing register with this information would allow verification of whether the correct ratepayers </w:t>
      </w:r>
      <w:r w:rsidR="00305111">
        <w:t>are being reimbursed. Regarding tenancy, Windermere Oaks’</w:t>
      </w:r>
      <w:r w:rsidR="001208E2">
        <w:t xml:space="preserve"> publicly available</w:t>
      </w:r>
      <w:r w:rsidR="00305111">
        <w:t xml:space="preserve"> tariff </w:t>
      </w:r>
      <w:r w:rsidR="001208E2">
        <w:t xml:space="preserve">posted on its website </w:t>
      </w:r>
      <w:r w:rsidR="00305111">
        <w:t>contains an alternate billing agreement form</w:t>
      </w:r>
      <w:r w:rsidR="001208E2">
        <w:t xml:space="preserve"> for rental accounts</w:t>
      </w:r>
      <w:r w:rsidR="00305111">
        <w:t>.</w:t>
      </w:r>
      <w:r w:rsidR="00305111">
        <w:rPr>
          <w:rStyle w:val="FootnoteReference"/>
        </w:rPr>
        <w:footnoteReference w:id="6"/>
      </w:r>
      <w:r w:rsidR="001208E2">
        <w:t xml:space="preserve"> The alternate billing agreement information should provide </w:t>
      </w:r>
      <w:r w:rsidR="00292DD0">
        <w:t xml:space="preserve">information regarding tenancies during the eligibility period, and Windermere Oaks could confidentially file all alternate billing agreements </w:t>
      </w:r>
      <w:r w:rsidR="008330CC">
        <w:t>in force during the eligibility period.</w:t>
      </w:r>
    </w:p>
    <w:p w14:paraId="2E33DB85" w14:textId="112F7B20" w:rsidR="0001528A" w:rsidRDefault="0001528A" w:rsidP="006F6038">
      <w:pPr>
        <w:pStyle w:val="Paragraph"/>
        <w:spacing w:after="240"/>
        <w:ind w:firstLine="0"/>
        <w:rPr>
          <w:b/>
          <w:bCs/>
          <w:i/>
          <w:iCs/>
          <w:u w:val="single"/>
        </w:rPr>
      </w:pPr>
      <w:r w:rsidRPr="00DA33F2">
        <w:rPr>
          <w:b/>
          <w:bCs/>
          <w:i/>
          <w:iCs/>
          <w:u w:val="single"/>
        </w:rPr>
        <w:t>Reused Account Numbers</w:t>
      </w:r>
    </w:p>
    <w:p w14:paraId="7B0D329E" w14:textId="0BAD87A5" w:rsidR="00DA33F2" w:rsidRDefault="00DA33F2" w:rsidP="00FF4B38">
      <w:pPr>
        <w:pStyle w:val="Paragraph"/>
        <w:ind w:firstLine="0"/>
      </w:pPr>
      <w:r>
        <w:tab/>
      </w:r>
      <w:r w:rsidR="008330CC">
        <w:t xml:space="preserve">The ratepayer representatives allege that </w:t>
      </w:r>
      <w:r w:rsidR="00FC38EE">
        <w:t xml:space="preserve">Windermere Oaks reuses </w:t>
      </w:r>
      <w:r w:rsidR="0087302A">
        <w:t xml:space="preserve">previously used </w:t>
      </w:r>
      <w:r w:rsidR="00FC38EE">
        <w:t>account numbers fo</w:t>
      </w:r>
      <w:r w:rsidR="0087302A">
        <w:t>r new accounts.</w:t>
      </w:r>
      <w:r w:rsidR="00FE2B57">
        <w:rPr>
          <w:rStyle w:val="FootnoteReference"/>
        </w:rPr>
        <w:footnoteReference w:id="7"/>
      </w:r>
      <w:r w:rsidR="0087302A">
        <w:t xml:space="preserve"> Windermere Oaks responded </w:t>
      </w:r>
      <w:r w:rsidR="00934319">
        <w:t xml:space="preserve">that it deletes the information associated with an old account before reusing the account number </w:t>
      </w:r>
      <w:r w:rsidR="00FF4B38">
        <w:t>for a new account and that it has the information and ability to properly identify refund recipients.</w:t>
      </w:r>
      <w:r w:rsidR="00143CE5">
        <w:rPr>
          <w:rStyle w:val="FootnoteReference"/>
        </w:rPr>
        <w:footnoteReference w:id="8"/>
      </w:r>
    </w:p>
    <w:p w14:paraId="7C793135" w14:textId="3BBE0DE1" w:rsidR="00FF4B38" w:rsidRPr="00DA33F2" w:rsidRDefault="00FF4B38" w:rsidP="006F6038">
      <w:pPr>
        <w:pStyle w:val="Paragraph"/>
        <w:spacing w:after="240"/>
        <w:ind w:firstLine="0"/>
      </w:pPr>
      <w:r>
        <w:tab/>
        <w:t>Staff recommends that the above-mentioned billing register recommendation would further</w:t>
      </w:r>
      <w:r w:rsidR="008C1EE3">
        <w:t xml:space="preserve"> allow for identification of reused account numbers and verification that no reused account number has led to</w:t>
      </w:r>
      <w:r w:rsidR="00C83414">
        <w:t xml:space="preserve"> improper refunds.</w:t>
      </w:r>
    </w:p>
    <w:p w14:paraId="5A370ECC" w14:textId="4BF0147D" w:rsidR="0001528A" w:rsidRDefault="00C83414" w:rsidP="006F6038">
      <w:pPr>
        <w:pStyle w:val="Paragraph"/>
        <w:spacing w:after="240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Premature Refunds</w:t>
      </w:r>
    </w:p>
    <w:p w14:paraId="7258623E" w14:textId="0A8E354C" w:rsidR="00C83414" w:rsidRPr="00C83414" w:rsidRDefault="00C83414" w:rsidP="003A5B47">
      <w:pPr>
        <w:pStyle w:val="Paragraph"/>
        <w:ind w:firstLine="0"/>
      </w:pPr>
      <w:r>
        <w:tab/>
        <w:t xml:space="preserve">The ratepayer representatives allege </w:t>
      </w:r>
      <w:r w:rsidR="007C15E3">
        <w:t xml:space="preserve">Windermere Oaks has frontloaded refunds by providing every ratepayer, regardless of the number of months of refunds they were entitled to, </w:t>
      </w:r>
      <w:r w:rsidR="007C15E3">
        <w:lastRenderedPageBreak/>
        <w:t>refunds</w:t>
      </w:r>
      <w:r w:rsidR="00603594">
        <w:t xml:space="preserve"> starting</w:t>
      </w:r>
      <w:r w:rsidR="007C15E3">
        <w:t xml:space="preserve"> from the first month of refunds. </w:t>
      </w:r>
      <w:r w:rsidR="00FB6102">
        <w:t>Instead, the ratepayer representatives suggest that ratepayers should receive refunds depending on which month they began to pay rates during the eligibility period</w:t>
      </w:r>
      <w:r w:rsidR="00E2761F">
        <w:t xml:space="preserve"> to protect the financial stability</w:t>
      </w:r>
      <w:r w:rsidR="005743E5">
        <w:t xml:space="preserve"> and viability</w:t>
      </w:r>
      <w:r w:rsidR="00E2761F">
        <w:t xml:space="preserve"> of Windermere Oaks.</w:t>
      </w:r>
      <w:r w:rsidR="00700B13">
        <w:t xml:space="preserve"> As an example provided by the ratepayer representatives, a </w:t>
      </w:r>
      <w:r w:rsidR="0054247C">
        <w:t xml:space="preserve">customer that joined </w:t>
      </w:r>
      <w:r w:rsidR="00044A51">
        <w:t xml:space="preserve">24 months </w:t>
      </w:r>
      <w:r w:rsidR="0054247C">
        <w:t>after the beginning of</w:t>
      </w:r>
      <w:r w:rsidR="00044A51">
        <w:t xml:space="preserve"> the eligibility period should only begin to receive their credit refund </w:t>
      </w:r>
      <w:r w:rsidR="000F6636">
        <w:t>after the</w:t>
      </w:r>
      <w:r w:rsidR="00044A51">
        <w:t xml:space="preserve"> 24</w:t>
      </w:r>
      <w:r w:rsidR="00044A51" w:rsidRPr="00044A51">
        <w:rPr>
          <w:vertAlign w:val="superscript"/>
        </w:rPr>
        <w:t>th</w:t>
      </w:r>
      <w:r w:rsidR="00044A51">
        <w:t xml:space="preserve"> month of refunds made by Windermere Oaks</w:t>
      </w:r>
      <w:r w:rsidR="00E62D80">
        <w:t xml:space="preserve">, which would be </w:t>
      </w:r>
      <w:r w:rsidR="000F6636">
        <w:t>March</w:t>
      </w:r>
      <w:r w:rsidR="00304555">
        <w:t xml:space="preserve"> 2026,</w:t>
      </w:r>
      <w:r w:rsidR="00044A51">
        <w:t xml:space="preserve"> rather than the first month of refunds</w:t>
      </w:r>
      <w:r w:rsidR="00304555">
        <w:t>, which was March 2024</w:t>
      </w:r>
      <w:r w:rsidR="00044A51">
        <w:t>.</w:t>
      </w:r>
      <w:r w:rsidR="00143CE5">
        <w:rPr>
          <w:rStyle w:val="FootnoteReference"/>
        </w:rPr>
        <w:footnoteReference w:id="9"/>
      </w:r>
      <w:r w:rsidR="005743E5">
        <w:t xml:space="preserve"> Windermere Oaks did not respond to this allegation.</w:t>
      </w:r>
    </w:p>
    <w:p w14:paraId="405B8E4D" w14:textId="0BA02752" w:rsidR="00DA33F2" w:rsidRPr="00DA33F2" w:rsidRDefault="00DA33F2" w:rsidP="006F6038">
      <w:pPr>
        <w:pStyle w:val="Paragraph"/>
        <w:spacing w:after="240"/>
        <w:ind w:firstLine="0"/>
      </w:pPr>
      <w:r>
        <w:tab/>
      </w:r>
      <w:r w:rsidR="005743E5">
        <w:t xml:space="preserve">Staff recommends that Windermere Oaks explore </w:t>
      </w:r>
      <w:r w:rsidR="00444029">
        <w:t>the</w:t>
      </w:r>
      <w:r w:rsidR="005743E5">
        <w:t xml:space="preserve"> alternate refund schedule</w:t>
      </w:r>
      <w:r w:rsidR="00444029">
        <w:t xml:space="preserve"> proposed by the ratepayer representatives</w:t>
      </w:r>
      <w:r w:rsidR="005743E5">
        <w:t xml:space="preserve">. While the Order in Docket No. 50788 does not specify a refund schedule, </w:t>
      </w:r>
      <w:r w:rsidR="00BB6A15">
        <w:t xml:space="preserve">Windermere Oaks has a duty under 16 Texas Administrative Code (TAC) </w:t>
      </w:r>
      <w:r w:rsidR="00DF6BB4" w:rsidRPr="00DF6BB4">
        <w:t>§</w:t>
      </w:r>
      <w:r w:rsidR="00DF6BB4">
        <w:t> </w:t>
      </w:r>
      <w:r w:rsidR="00DF6BB4" w:rsidRPr="00DF6BB4">
        <w:t>24.247</w:t>
      </w:r>
      <w:r w:rsidR="00DF6BB4">
        <w:t xml:space="preserve"> to </w:t>
      </w:r>
      <w:r w:rsidR="000F7CC9">
        <w:t>provide continuous and adequate service. Windermere Oaks’ financial stability is a factor in continuing to provide continuous and adequate water and sewer service.</w:t>
      </w:r>
      <w:r w:rsidR="00772CE9">
        <w:t xml:space="preserve"> At the September 26, 2024, open meeting of the Commission,</w:t>
      </w:r>
      <w:r w:rsidR="00794010">
        <w:t xml:space="preserve"> Windermere Oaks board member Jeff Walker </w:t>
      </w:r>
      <w:r w:rsidR="00DD7F82">
        <w:t xml:space="preserve">noted that </w:t>
      </w:r>
      <w:r w:rsidR="00FC3158">
        <w:t>Windermere Oaks’ revenue has been reduced by nearly 80 percent</w:t>
      </w:r>
      <w:r w:rsidR="00DB3B15">
        <w:t xml:space="preserve"> </w:t>
      </w:r>
      <w:r w:rsidR="00BF6E4E">
        <w:t xml:space="preserve">and that Windermere Oaks has been running a financial deficit of around $10,000 </w:t>
      </w:r>
      <w:r w:rsidR="0085548B">
        <w:t>monthly for 2024 so far.</w:t>
      </w:r>
      <w:r w:rsidR="00FA3ACE">
        <w:rPr>
          <w:rStyle w:val="FootnoteReference"/>
        </w:rPr>
        <w:footnoteReference w:id="10"/>
      </w:r>
      <w:r w:rsidR="009D31C5">
        <w:t xml:space="preserve"> Given the uncertainty regarding Windermere Oaks’ financial stability, </w:t>
      </w:r>
      <w:r w:rsidR="005E286A">
        <w:t xml:space="preserve">delaying credit refunds to ratepayers who were not paying rates during the earlier months of the eligibility period should be considered by Windermere Oaks </w:t>
      </w:r>
      <w:r w:rsidR="003A5B47">
        <w:t>to improve financial stability.</w:t>
      </w:r>
    </w:p>
    <w:p w14:paraId="14B44202" w14:textId="77777777" w:rsidR="004B1D6A" w:rsidRPr="00EC08C5" w:rsidRDefault="004B1D6A" w:rsidP="00482B33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EC08C5">
        <w:t>CONCLUSION</w:t>
      </w:r>
    </w:p>
    <w:p w14:paraId="186FD111" w14:textId="02197F2D" w:rsidR="004B1D6A" w:rsidRPr="004B1D6A" w:rsidRDefault="004B1D6A" w:rsidP="004B1D6A">
      <w:pPr>
        <w:pStyle w:val="Paragraph"/>
      </w:pPr>
      <w:r>
        <w:t>Staff respectfully requests th</w:t>
      </w:r>
      <w:r w:rsidR="00786AE9">
        <w:t xml:space="preserve">e </w:t>
      </w:r>
      <w:r w:rsidR="001C24B8">
        <w:t>issuance</w:t>
      </w:r>
      <w:r w:rsidR="00786AE9">
        <w:t xml:space="preserve"> of an order consistent with </w:t>
      </w:r>
      <w:r w:rsidR="001C24B8">
        <w:t>the foregoing</w:t>
      </w:r>
      <w:r w:rsidR="00786AE9">
        <w:t>.</w:t>
      </w:r>
    </w:p>
    <w:p w14:paraId="232477D5" w14:textId="77777777" w:rsidR="004B1D6A" w:rsidRPr="004B1D6A" w:rsidRDefault="004B1D6A" w:rsidP="004B1D6A">
      <w:pPr>
        <w:pStyle w:val="Paragraph"/>
      </w:pPr>
    </w:p>
    <w:p w14:paraId="4247D3C2" w14:textId="77777777" w:rsidR="00482B33" w:rsidRDefault="00482B33">
      <w:pPr>
        <w:spacing w:after="0" w:line="240" w:lineRule="auto"/>
        <w:ind w:firstLine="0"/>
        <w:jc w:val="left"/>
      </w:pPr>
      <w:r>
        <w:br w:type="page"/>
      </w:r>
    </w:p>
    <w:p w14:paraId="7BE932FB" w14:textId="765A77EB" w:rsidR="00E52295" w:rsidRPr="00AE27EB" w:rsidRDefault="00E52295" w:rsidP="0093643B">
      <w:pPr>
        <w:spacing w:after="0" w:line="240" w:lineRule="auto"/>
        <w:ind w:firstLine="0"/>
        <w:jc w:val="left"/>
      </w:pPr>
      <w:r w:rsidRPr="00AE27EB">
        <w:lastRenderedPageBreak/>
        <w:t xml:space="preserve">Dated: </w:t>
      </w:r>
      <w:r w:rsidRPr="00AE27EB">
        <w:fldChar w:fldCharType="begin"/>
      </w:r>
      <w:r w:rsidRPr="00AE27EB">
        <w:instrText xml:space="preserve"> DATE \@ "MMMM d, yyyy" </w:instrText>
      </w:r>
      <w:r w:rsidRPr="00AE27EB">
        <w:fldChar w:fldCharType="separate"/>
      </w:r>
      <w:r w:rsidR="00722DD6">
        <w:rPr>
          <w:noProof/>
        </w:rPr>
        <w:t>September 30, 2024</w:t>
      </w:r>
      <w:r w:rsidRPr="00AE27EB">
        <w:fldChar w:fldCharType="end"/>
      </w:r>
    </w:p>
    <w:p w14:paraId="3C55C19E" w14:textId="77777777" w:rsidR="00E52295" w:rsidRPr="00AE27EB" w:rsidRDefault="00E52295" w:rsidP="00E52295">
      <w:pPr>
        <w:pStyle w:val="Paragraph"/>
        <w:keepNext/>
        <w:ind w:firstLine="0"/>
      </w:pPr>
    </w:p>
    <w:p w14:paraId="40F19CBF" w14:textId="77777777" w:rsidR="00E52295" w:rsidRPr="00AE27EB" w:rsidRDefault="00E52295" w:rsidP="00E52295">
      <w:pPr>
        <w:keepNext/>
        <w:spacing w:after="0" w:line="480" w:lineRule="auto"/>
        <w:ind w:left="4320" w:firstLine="0"/>
        <w:rPr>
          <w:szCs w:val="20"/>
        </w:rPr>
      </w:pPr>
      <w:r w:rsidRPr="00AE27EB">
        <w:rPr>
          <w:szCs w:val="20"/>
        </w:rPr>
        <w:t>Respectfully submitted,</w:t>
      </w:r>
    </w:p>
    <w:p w14:paraId="101716C5" w14:textId="77777777" w:rsidR="00E52295" w:rsidRPr="00AE27EB" w:rsidRDefault="00E52295" w:rsidP="00E52295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AE27EB">
        <w:rPr>
          <w:b/>
        </w:rPr>
        <w:t>PUBLIC UTILITY COMMISSION OF TEXAS LEGAL DIVISION</w:t>
      </w:r>
    </w:p>
    <w:p w14:paraId="60D12CB3" w14:textId="77777777" w:rsidR="00E52295" w:rsidRPr="00AE27EB" w:rsidRDefault="00E52295" w:rsidP="00E52295">
      <w:pPr>
        <w:keepNext/>
        <w:spacing w:after="0" w:line="240" w:lineRule="auto"/>
        <w:ind w:left="4320" w:firstLine="0"/>
        <w:rPr>
          <w:szCs w:val="20"/>
        </w:rPr>
      </w:pPr>
    </w:p>
    <w:p w14:paraId="0688122F" w14:textId="75068F56" w:rsidR="00531AD1" w:rsidRPr="007218C5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Marisa Lopez</w:t>
      </w:r>
      <w:r w:rsidR="00D836CC">
        <w:rPr>
          <w:szCs w:val="20"/>
        </w:rPr>
        <w:t xml:space="preserve"> </w:t>
      </w:r>
      <w:r w:rsidRPr="007218C5">
        <w:rPr>
          <w:szCs w:val="20"/>
        </w:rPr>
        <w:t>Wagley</w:t>
      </w:r>
    </w:p>
    <w:p w14:paraId="2D2E57B0" w14:textId="6A0B9114" w:rsidR="00531AD1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Division Director</w:t>
      </w:r>
    </w:p>
    <w:p w14:paraId="58C9A580" w14:textId="4ADEF54B" w:rsidR="00786AE9" w:rsidRDefault="00786AE9" w:rsidP="00531AD1">
      <w:pPr>
        <w:spacing w:after="0" w:line="240" w:lineRule="auto"/>
        <w:ind w:left="4320" w:firstLine="0"/>
        <w:contextualSpacing/>
        <w:rPr>
          <w:szCs w:val="20"/>
        </w:rPr>
      </w:pPr>
    </w:p>
    <w:p w14:paraId="32CF6624" w14:textId="4616A1E6" w:rsidR="00786AE9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Anthony Kanalas</w:t>
      </w:r>
    </w:p>
    <w:p w14:paraId="5D5865D6" w14:textId="2EF4A6FD" w:rsidR="00033013" w:rsidRPr="007218C5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Managing Attorney</w:t>
      </w:r>
    </w:p>
    <w:p w14:paraId="65E6C0C5" w14:textId="77777777" w:rsidR="00531AD1" w:rsidRPr="007218C5" w:rsidRDefault="00531AD1" w:rsidP="00531AD1">
      <w:pPr>
        <w:spacing w:after="0" w:line="240" w:lineRule="auto"/>
        <w:ind w:firstLine="0"/>
        <w:contextualSpacing/>
        <w:rPr>
          <w:szCs w:val="20"/>
        </w:rPr>
      </w:pPr>
    </w:p>
    <w:p w14:paraId="50C44196" w14:textId="1898062C" w:rsidR="00531AD1" w:rsidRDefault="00531AD1">
      <w:pPr>
        <w:spacing w:after="0" w:line="240" w:lineRule="auto"/>
        <w:ind w:firstLine="0"/>
        <w:jc w:val="left"/>
        <w:rPr>
          <w:i/>
          <w:iCs/>
          <w:u w:val="single"/>
        </w:rPr>
      </w:pPr>
    </w:p>
    <w:p w14:paraId="21EB34B7" w14:textId="00BD22C0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7521C02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0409562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753B502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F7E4878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2AAF2A3E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1CF44FBD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63A3B68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1A9DA9EA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Tyler.Xu@puc.texas.gov</w:t>
      </w:r>
    </w:p>
    <w:p w14:paraId="1B3186E0" w14:textId="77777777" w:rsidR="00786AE9" w:rsidRDefault="00786AE9">
      <w:pPr>
        <w:spacing w:after="0" w:line="240" w:lineRule="auto"/>
        <w:ind w:firstLine="0"/>
        <w:jc w:val="left"/>
        <w:rPr>
          <w:szCs w:val="20"/>
        </w:rPr>
      </w:pPr>
    </w:p>
    <w:p w14:paraId="2EA8AE82" w14:textId="77777777" w:rsidR="009F700A" w:rsidRDefault="009F700A">
      <w:pPr>
        <w:spacing w:after="0" w:line="240" w:lineRule="auto"/>
        <w:ind w:firstLine="0"/>
        <w:jc w:val="left"/>
        <w:rPr>
          <w:szCs w:val="20"/>
        </w:rPr>
      </w:pPr>
    </w:p>
    <w:p w14:paraId="141508F0" w14:textId="0F15FE0F" w:rsidR="00531AD1" w:rsidRPr="007218C5" w:rsidRDefault="00531AD1" w:rsidP="00531AD1">
      <w:pPr>
        <w:spacing w:after="0" w:line="240" w:lineRule="auto"/>
        <w:ind w:firstLine="0"/>
        <w:jc w:val="center"/>
        <w:rPr>
          <w:b/>
          <w:bCs/>
          <w:szCs w:val="20"/>
        </w:rPr>
      </w:pPr>
      <w:r w:rsidRPr="007218C5">
        <w:rPr>
          <w:b/>
          <w:bCs/>
          <w:szCs w:val="20"/>
        </w:rPr>
        <w:t xml:space="preserve">DOCKET NO. </w:t>
      </w:r>
      <w:r w:rsidR="001C24B8">
        <w:rPr>
          <w:b/>
          <w:bCs/>
          <w:szCs w:val="20"/>
        </w:rPr>
        <w:t>56272</w:t>
      </w:r>
    </w:p>
    <w:p w14:paraId="060492D1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  <w:highlight w:val="yellow"/>
        </w:rPr>
      </w:pPr>
    </w:p>
    <w:p w14:paraId="7881152B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  <w:r w:rsidRPr="007218C5">
        <w:rPr>
          <w:b/>
          <w:szCs w:val="20"/>
        </w:rPr>
        <w:t>CERTIFICATE OF SERVICE</w:t>
      </w:r>
    </w:p>
    <w:p w14:paraId="0B160A23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</w:p>
    <w:p w14:paraId="678F8966" w14:textId="6D7BA3F5" w:rsidR="00531AD1" w:rsidRPr="007218C5" w:rsidRDefault="00531AD1" w:rsidP="00531AD1">
      <w:pPr>
        <w:spacing w:after="0"/>
        <w:rPr>
          <w:szCs w:val="20"/>
        </w:rPr>
      </w:pPr>
      <w:r w:rsidRPr="007218C5">
        <w:rPr>
          <w:color w:val="0D0D0D"/>
          <w:szCs w:val="20"/>
        </w:rPr>
        <w:t xml:space="preserve">I certify that, unless otherwise ordered by the presiding officer, notice of the filing of this document </w:t>
      </w:r>
      <w:r w:rsidR="00482B33">
        <w:rPr>
          <w:color w:val="0D0D0D"/>
          <w:szCs w:val="20"/>
        </w:rPr>
        <w:t>will be</w:t>
      </w:r>
      <w:r w:rsidRPr="007218C5">
        <w:rPr>
          <w:color w:val="0D0D0D"/>
          <w:szCs w:val="20"/>
        </w:rPr>
        <w:t xml:space="preserve"> provided to all parties of record via electronic mail on</w:t>
      </w:r>
      <w:r w:rsidRPr="007218C5">
        <w:rPr>
          <w:szCs w:val="20"/>
        </w:rPr>
        <w:t xml:space="preserve"> </w:t>
      </w:r>
      <w:r w:rsidRPr="007218C5">
        <w:rPr>
          <w:szCs w:val="20"/>
        </w:rPr>
        <w:fldChar w:fldCharType="begin"/>
      </w:r>
      <w:r w:rsidRPr="007218C5">
        <w:rPr>
          <w:szCs w:val="20"/>
        </w:rPr>
        <w:instrText xml:space="preserve"> DATE \@ "MMMM d, yyyy" </w:instrText>
      </w:r>
      <w:r w:rsidRPr="007218C5">
        <w:rPr>
          <w:szCs w:val="20"/>
        </w:rPr>
        <w:fldChar w:fldCharType="separate"/>
      </w:r>
      <w:r w:rsidR="00722DD6">
        <w:rPr>
          <w:noProof/>
          <w:szCs w:val="20"/>
        </w:rPr>
        <w:t>September 30, 2024</w:t>
      </w:r>
      <w:r w:rsidRPr="007218C5">
        <w:rPr>
          <w:szCs w:val="20"/>
        </w:rPr>
        <w:fldChar w:fldCharType="end"/>
      </w:r>
      <w:r w:rsidRPr="007218C5">
        <w:rPr>
          <w:color w:val="0D0D0D"/>
          <w:szCs w:val="20"/>
        </w:rPr>
        <w:t xml:space="preserve">, in accordance with the Second Order Suspending Rules, </w:t>
      </w:r>
      <w:r w:rsidR="00962B33">
        <w:rPr>
          <w:color w:val="0D0D0D"/>
          <w:szCs w:val="20"/>
        </w:rPr>
        <w:t>filed</w:t>
      </w:r>
      <w:r w:rsidRPr="007218C5">
        <w:rPr>
          <w:color w:val="0D0D0D"/>
          <w:szCs w:val="20"/>
        </w:rPr>
        <w:t xml:space="preserve"> in Project No. 50664.</w:t>
      </w:r>
    </w:p>
    <w:p w14:paraId="08970019" w14:textId="77777777" w:rsidR="00531AD1" w:rsidRPr="007218C5" w:rsidRDefault="00531AD1" w:rsidP="00531AD1">
      <w:pPr>
        <w:spacing w:after="0" w:line="240" w:lineRule="auto"/>
        <w:ind w:left="3600" w:firstLine="0"/>
        <w:rPr>
          <w:szCs w:val="20"/>
        </w:rPr>
      </w:pPr>
    </w:p>
    <w:p w14:paraId="051833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C8C7A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1BA7BCF5" w14:textId="2C912BC4" w:rsidR="00DA790F" w:rsidRPr="00531AD1" w:rsidRDefault="00DA790F" w:rsidP="00786AE9">
      <w:pPr>
        <w:keepNext/>
        <w:spacing w:after="0" w:line="240" w:lineRule="auto"/>
        <w:ind w:left="4320" w:firstLine="0"/>
        <w:rPr>
          <w:szCs w:val="20"/>
        </w:rPr>
      </w:pPr>
    </w:p>
    <w:sectPr w:rsidR="00DA790F" w:rsidRPr="00531AD1" w:rsidSect="00525A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08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906B" w14:textId="77777777" w:rsidR="00BA5008" w:rsidRDefault="00BA5008">
      <w:pPr>
        <w:spacing w:after="0" w:line="240" w:lineRule="auto"/>
      </w:pPr>
      <w:r>
        <w:separator/>
      </w:r>
    </w:p>
  </w:endnote>
  <w:endnote w:type="continuationSeparator" w:id="0">
    <w:p w14:paraId="07EB6813" w14:textId="77777777" w:rsidR="00BA5008" w:rsidRDefault="00BA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16402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164CC9" w14:textId="77777777" w:rsidR="00071BFA" w:rsidRDefault="00071BFA" w:rsidP="008016FB">
    <w:pPr>
      <w:pStyle w:val="Footer"/>
    </w:pPr>
  </w:p>
  <w:p w14:paraId="058C8D5F" w14:textId="77777777" w:rsidR="00071BFA" w:rsidRDefault="00071BFA" w:rsidP="008016FB"/>
  <w:p w14:paraId="7C181A86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AFB1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92AA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24940" w14:textId="77777777" w:rsidR="00BA5008" w:rsidRDefault="00BA5008">
      <w:pPr>
        <w:spacing w:after="0" w:line="240" w:lineRule="auto"/>
      </w:pPr>
      <w:r>
        <w:separator/>
      </w:r>
    </w:p>
  </w:footnote>
  <w:footnote w:type="continuationSeparator" w:id="0">
    <w:p w14:paraId="22D20357" w14:textId="77777777" w:rsidR="00BA5008" w:rsidRDefault="00BA5008">
      <w:pPr>
        <w:spacing w:after="0" w:line="240" w:lineRule="auto"/>
      </w:pPr>
      <w:r>
        <w:continuationSeparator/>
      </w:r>
    </w:p>
  </w:footnote>
  <w:footnote w:type="continuationNotice" w:id="1">
    <w:p w14:paraId="66EECBA6" w14:textId="77777777" w:rsidR="00BA5008" w:rsidRDefault="00BA5008">
      <w:pPr>
        <w:spacing w:after="0" w:line="240" w:lineRule="auto"/>
      </w:pPr>
    </w:p>
  </w:footnote>
  <w:footnote w:id="2">
    <w:p w14:paraId="4FB5FAEB" w14:textId="657C2C34" w:rsidR="001C24B8" w:rsidRDefault="001C24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C24B8">
        <w:rPr>
          <w:i/>
          <w:iCs/>
        </w:rPr>
        <w:t>Ratepayers Appeal of the Decision by Windermere Oaks Water Supply Corporation to Change Water and Sewer Rates</w:t>
      </w:r>
      <w:r>
        <w:t>, Docket No. 50788, Order (Mar. 21, 2024).</w:t>
      </w:r>
    </w:p>
  </w:footnote>
  <w:footnote w:id="3">
    <w:p w14:paraId="1F738ADA" w14:textId="70362F11" w:rsidR="00C83073" w:rsidRDefault="00C830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0193A" w:rsidRPr="0070193A">
        <w:t>Ratepayers Representatives Letter in Response to Windermere's Supplemented First Compliance Report</w:t>
      </w:r>
      <w:r w:rsidR="0070193A">
        <w:t xml:space="preserve"> at 2 (Aug. 19, 2024)</w:t>
      </w:r>
      <w:r w:rsidR="004D5EF4">
        <w:t>.</w:t>
      </w:r>
      <w:r w:rsidR="0070193A">
        <w:t xml:space="preserve"> (Ratepayer Representatives Letter).</w:t>
      </w:r>
    </w:p>
  </w:footnote>
  <w:footnote w:id="4">
    <w:p w14:paraId="69B04A9A" w14:textId="07AE1FA1" w:rsidR="004D5EF4" w:rsidRPr="004D5EF4" w:rsidRDefault="004D5EF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Id</w:t>
      </w:r>
      <w:r>
        <w:t>.</w:t>
      </w:r>
    </w:p>
  </w:footnote>
  <w:footnote w:id="5">
    <w:p w14:paraId="228C89C7" w14:textId="77BBD448" w:rsidR="004D5EF4" w:rsidRDefault="004D5EF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E2B57" w:rsidRPr="00FE2B57">
        <w:t>Windermere Oaks Water Supply Corporation's Response to Ratepayer Representatives' Alleged Deficiencies in Compliance Report</w:t>
      </w:r>
      <w:r w:rsidR="00FE2B57">
        <w:t xml:space="preserve"> at 2 (Sep. 20, 2024). (Windermere Response to Ratepayer Representatives).</w:t>
      </w:r>
    </w:p>
  </w:footnote>
  <w:footnote w:id="6">
    <w:p w14:paraId="30B7EE29" w14:textId="6C683B77" w:rsidR="00305111" w:rsidRDefault="0030511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16D02" w:rsidRPr="007C4A8A">
        <w:t>Tariff for Windermere Oaks Water Supply Corporation</w:t>
      </w:r>
      <w:r w:rsidR="00816D02">
        <w:t xml:space="preserve">, </w:t>
      </w:r>
      <w:r w:rsidR="00E309D6">
        <w:t>Alternate Billing Agreement for Rental Accounts, p. 74 at</w:t>
      </w:r>
      <w:r w:rsidR="00816D02">
        <w:rPr>
          <w:i/>
          <w:iCs/>
        </w:rPr>
        <w:t xml:space="preserve"> </w:t>
      </w:r>
      <w:r w:rsidR="001E2E20" w:rsidRPr="001E2E20">
        <w:t>https://wowsc.org/documents/778/Tariff_WOWSC_2.11.20.pdf</w:t>
      </w:r>
      <w:r w:rsidR="00E309D6">
        <w:t>.</w:t>
      </w:r>
    </w:p>
  </w:footnote>
  <w:footnote w:id="7">
    <w:p w14:paraId="517C966A" w14:textId="4B6C0FF8" w:rsidR="00FE2B57" w:rsidRDefault="00FE2B57">
      <w:pPr>
        <w:pStyle w:val="FootnoteText"/>
      </w:pPr>
      <w:r>
        <w:rPr>
          <w:rStyle w:val="FootnoteReference"/>
        </w:rPr>
        <w:footnoteRef/>
      </w:r>
      <w:r>
        <w:t xml:space="preserve"> Ratepayer Representatives Letter at </w:t>
      </w:r>
      <w:r w:rsidR="00143CE5">
        <w:t>3.</w:t>
      </w:r>
    </w:p>
  </w:footnote>
  <w:footnote w:id="8">
    <w:p w14:paraId="1B3983A9" w14:textId="5FCCB1D6" w:rsidR="00143CE5" w:rsidRDefault="00143CE5">
      <w:pPr>
        <w:pStyle w:val="FootnoteText"/>
      </w:pPr>
      <w:r>
        <w:rPr>
          <w:rStyle w:val="FootnoteReference"/>
        </w:rPr>
        <w:footnoteRef/>
      </w:r>
      <w:r>
        <w:t xml:space="preserve"> Windermere Response to Ratepayer Representatives at 2.</w:t>
      </w:r>
    </w:p>
  </w:footnote>
  <w:footnote w:id="9">
    <w:p w14:paraId="0DA8BC0D" w14:textId="68EB6EA8" w:rsidR="00143CE5" w:rsidRDefault="00143CE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E50E0">
        <w:t>Ratepayer Representatives Letter at 3.</w:t>
      </w:r>
    </w:p>
  </w:footnote>
  <w:footnote w:id="10">
    <w:p w14:paraId="18BF509A" w14:textId="2161956C" w:rsidR="00FA3ACE" w:rsidRDefault="00FA3AC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E4C28">
        <w:t xml:space="preserve">Open Meeting of the Public Utility Commission of Texas at </w:t>
      </w:r>
      <w:r w:rsidR="00F752CC">
        <w:t>3:00</w:t>
      </w:r>
      <w:r w:rsidR="009D31C5">
        <w:t>-4:25 (Sep. 26,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5091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0C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9BEC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C1EEF"/>
    <w:multiLevelType w:val="hybridMultilevel"/>
    <w:tmpl w:val="AF9C7D82"/>
    <w:lvl w:ilvl="0" w:tplc="DB888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E0561A8"/>
    <w:multiLevelType w:val="hybridMultilevel"/>
    <w:tmpl w:val="607844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74095878">
    <w:abstractNumId w:val="10"/>
  </w:num>
  <w:num w:numId="2" w16cid:durableId="1850097745">
    <w:abstractNumId w:val="26"/>
  </w:num>
  <w:num w:numId="3" w16cid:durableId="1784152569">
    <w:abstractNumId w:val="17"/>
  </w:num>
  <w:num w:numId="4" w16cid:durableId="1029918135">
    <w:abstractNumId w:val="13"/>
  </w:num>
  <w:num w:numId="5" w16cid:durableId="146360218">
    <w:abstractNumId w:val="25"/>
  </w:num>
  <w:num w:numId="6" w16cid:durableId="1561592702">
    <w:abstractNumId w:val="24"/>
  </w:num>
  <w:num w:numId="7" w16cid:durableId="1213807588">
    <w:abstractNumId w:val="18"/>
  </w:num>
  <w:num w:numId="8" w16cid:durableId="1361011498">
    <w:abstractNumId w:val="19"/>
  </w:num>
  <w:num w:numId="9" w16cid:durableId="1090856053">
    <w:abstractNumId w:val="22"/>
  </w:num>
  <w:num w:numId="10" w16cid:durableId="463811209">
    <w:abstractNumId w:val="23"/>
  </w:num>
  <w:num w:numId="11" w16cid:durableId="740445564">
    <w:abstractNumId w:val="15"/>
  </w:num>
  <w:num w:numId="12" w16cid:durableId="210113690">
    <w:abstractNumId w:val="21"/>
  </w:num>
  <w:num w:numId="13" w16cid:durableId="1644574967">
    <w:abstractNumId w:val="9"/>
  </w:num>
  <w:num w:numId="14" w16cid:durableId="919824610">
    <w:abstractNumId w:val="7"/>
  </w:num>
  <w:num w:numId="15" w16cid:durableId="1541434722">
    <w:abstractNumId w:val="6"/>
  </w:num>
  <w:num w:numId="16" w16cid:durableId="1461918544">
    <w:abstractNumId w:val="5"/>
  </w:num>
  <w:num w:numId="17" w16cid:durableId="832069699">
    <w:abstractNumId w:val="4"/>
  </w:num>
  <w:num w:numId="18" w16cid:durableId="1388261422">
    <w:abstractNumId w:val="8"/>
  </w:num>
  <w:num w:numId="19" w16cid:durableId="2005741981">
    <w:abstractNumId w:val="3"/>
  </w:num>
  <w:num w:numId="20" w16cid:durableId="1267151763">
    <w:abstractNumId w:val="2"/>
  </w:num>
  <w:num w:numId="21" w16cid:durableId="1412462918">
    <w:abstractNumId w:val="1"/>
  </w:num>
  <w:num w:numId="22" w16cid:durableId="418139893">
    <w:abstractNumId w:val="0"/>
  </w:num>
  <w:num w:numId="23" w16cid:durableId="1949775105">
    <w:abstractNumId w:val="12"/>
  </w:num>
  <w:num w:numId="24" w16cid:durableId="982004307">
    <w:abstractNumId w:val="16"/>
  </w:num>
  <w:num w:numId="25" w16cid:durableId="58285974">
    <w:abstractNumId w:val="20"/>
  </w:num>
  <w:num w:numId="26" w16cid:durableId="1633946957">
    <w:abstractNumId w:val="11"/>
  </w:num>
  <w:num w:numId="27" w16cid:durableId="1489124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F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28A"/>
    <w:rsid w:val="00015C32"/>
    <w:rsid w:val="00016F1F"/>
    <w:rsid w:val="00022FA6"/>
    <w:rsid w:val="000233F8"/>
    <w:rsid w:val="000274E7"/>
    <w:rsid w:val="00033013"/>
    <w:rsid w:val="000357D5"/>
    <w:rsid w:val="000406D7"/>
    <w:rsid w:val="00041B32"/>
    <w:rsid w:val="00041F8A"/>
    <w:rsid w:val="000434C0"/>
    <w:rsid w:val="00044A51"/>
    <w:rsid w:val="00047A27"/>
    <w:rsid w:val="00050EC3"/>
    <w:rsid w:val="00054407"/>
    <w:rsid w:val="0005491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4A89"/>
    <w:rsid w:val="000B04D8"/>
    <w:rsid w:val="000B10C9"/>
    <w:rsid w:val="000B163B"/>
    <w:rsid w:val="000B1812"/>
    <w:rsid w:val="000B18EF"/>
    <w:rsid w:val="000B5BCF"/>
    <w:rsid w:val="000B5F1B"/>
    <w:rsid w:val="000C084A"/>
    <w:rsid w:val="000C29F8"/>
    <w:rsid w:val="000C4031"/>
    <w:rsid w:val="000C6A4A"/>
    <w:rsid w:val="000C6AF9"/>
    <w:rsid w:val="000D3CDD"/>
    <w:rsid w:val="000D54AD"/>
    <w:rsid w:val="000D5F63"/>
    <w:rsid w:val="000E26FE"/>
    <w:rsid w:val="000E50E0"/>
    <w:rsid w:val="000E6961"/>
    <w:rsid w:val="000F0183"/>
    <w:rsid w:val="000F1B5D"/>
    <w:rsid w:val="000F1F40"/>
    <w:rsid w:val="000F2CCD"/>
    <w:rsid w:val="000F6636"/>
    <w:rsid w:val="000F6BEB"/>
    <w:rsid w:val="000F7CC9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08E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CE5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4B8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2E20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1C44"/>
    <w:rsid w:val="0024232C"/>
    <w:rsid w:val="00242505"/>
    <w:rsid w:val="0024377E"/>
    <w:rsid w:val="00243C87"/>
    <w:rsid w:val="00244A4F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2DD0"/>
    <w:rsid w:val="0029550E"/>
    <w:rsid w:val="00296BA8"/>
    <w:rsid w:val="0029706D"/>
    <w:rsid w:val="002975FA"/>
    <w:rsid w:val="002A094E"/>
    <w:rsid w:val="002A1898"/>
    <w:rsid w:val="002A2EC9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1A0B"/>
    <w:rsid w:val="002E45FE"/>
    <w:rsid w:val="002E749D"/>
    <w:rsid w:val="002F08B6"/>
    <w:rsid w:val="002F479D"/>
    <w:rsid w:val="003021A2"/>
    <w:rsid w:val="003033F1"/>
    <w:rsid w:val="00303A45"/>
    <w:rsid w:val="00304555"/>
    <w:rsid w:val="00305111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5B47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029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2B33"/>
    <w:rsid w:val="00483D52"/>
    <w:rsid w:val="0048421A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618"/>
    <w:rsid w:val="004A4C04"/>
    <w:rsid w:val="004A69A2"/>
    <w:rsid w:val="004B1D6A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5EF4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BEA"/>
    <w:rsid w:val="00517C97"/>
    <w:rsid w:val="00520070"/>
    <w:rsid w:val="00521161"/>
    <w:rsid w:val="005217D6"/>
    <w:rsid w:val="005236C8"/>
    <w:rsid w:val="00524580"/>
    <w:rsid w:val="00525A0C"/>
    <w:rsid w:val="00531AD1"/>
    <w:rsid w:val="00535615"/>
    <w:rsid w:val="00535DF6"/>
    <w:rsid w:val="0054012D"/>
    <w:rsid w:val="0054247C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410F"/>
    <w:rsid w:val="005743E5"/>
    <w:rsid w:val="005756FE"/>
    <w:rsid w:val="0057620A"/>
    <w:rsid w:val="00576B77"/>
    <w:rsid w:val="00580473"/>
    <w:rsid w:val="005830FD"/>
    <w:rsid w:val="00585A58"/>
    <w:rsid w:val="005864BC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177B"/>
    <w:rsid w:val="005D4161"/>
    <w:rsid w:val="005D506B"/>
    <w:rsid w:val="005D644A"/>
    <w:rsid w:val="005E0AD2"/>
    <w:rsid w:val="005E169D"/>
    <w:rsid w:val="005E19D8"/>
    <w:rsid w:val="005E286A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1829"/>
    <w:rsid w:val="00603594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07E6"/>
    <w:rsid w:val="006B2768"/>
    <w:rsid w:val="006B51D3"/>
    <w:rsid w:val="006C0BEE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6F6038"/>
    <w:rsid w:val="00700B13"/>
    <w:rsid w:val="0070193A"/>
    <w:rsid w:val="00701F55"/>
    <w:rsid w:val="00702788"/>
    <w:rsid w:val="007028F4"/>
    <w:rsid w:val="007035E0"/>
    <w:rsid w:val="00705419"/>
    <w:rsid w:val="00706EA0"/>
    <w:rsid w:val="0071409A"/>
    <w:rsid w:val="00714757"/>
    <w:rsid w:val="00714F70"/>
    <w:rsid w:val="007154AA"/>
    <w:rsid w:val="00721484"/>
    <w:rsid w:val="00722DD6"/>
    <w:rsid w:val="007271CB"/>
    <w:rsid w:val="00731869"/>
    <w:rsid w:val="00734222"/>
    <w:rsid w:val="00735FE0"/>
    <w:rsid w:val="00736E45"/>
    <w:rsid w:val="00737870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2CE9"/>
    <w:rsid w:val="00773425"/>
    <w:rsid w:val="00775766"/>
    <w:rsid w:val="007765BB"/>
    <w:rsid w:val="007805C5"/>
    <w:rsid w:val="00785B05"/>
    <w:rsid w:val="00786AE9"/>
    <w:rsid w:val="00786BFA"/>
    <w:rsid w:val="00790D4A"/>
    <w:rsid w:val="00791658"/>
    <w:rsid w:val="00794010"/>
    <w:rsid w:val="007942D7"/>
    <w:rsid w:val="00796EEE"/>
    <w:rsid w:val="007972AD"/>
    <w:rsid w:val="0079784E"/>
    <w:rsid w:val="007979AB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5E3"/>
    <w:rsid w:val="007C1E62"/>
    <w:rsid w:val="007C26C6"/>
    <w:rsid w:val="007C4A8A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66EE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6D02"/>
    <w:rsid w:val="00820C5D"/>
    <w:rsid w:val="00820EE7"/>
    <w:rsid w:val="00827E46"/>
    <w:rsid w:val="008307E7"/>
    <w:rsid w:val="00830801"/>
    <w:rsid w:val="00831051"/>
    <w:rsid w:val="0083168F"/>
    <w:rsid w:val="008330CC"/>
    <w:rsid w:val="00841E24"/>
    <w:rsid w:val="00844885"/>
    <w:rsid w:val="00846DD5"/>
    <w:rsid w:val="0085066B"/>
    <w:rsid w:val="00854779"/>
    <w:rsid w:val="00854EC6"/>
    <w:rsid w:val="0085548B"/>
    <w:rsid w:val="00855A5A"/>
    <w:rsid w:val="00857A7F"/>
    <w:rsid w:val="00861509"/>
    <w:rsid w:val="008647EB"/>
    <w:rsid w:val="00864EF1"/>
    <w:rsid w:val="00865E02"/>
    <w:rsid w:val="00866100"/>
    <w:rsid w:val="00871E82"/>
    <w:rsid w:val="0087302A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2EF5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1EE3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4319"/>
    <w:rsid w:val="0093643B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B33"/>
    <w:rsid w:val="00965618"/>
    <w:rsid w:val="00967587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085D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31C5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00A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6E1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27EB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4F9D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5008"/>
    <w:rsid w:val="00BA684F"/>
    <w:rsid w:val="00BA75D3"/>
    <w:rsid w:val="00BA7ABA"/>
    <w:rsid w:val="00BB0FE8"/>
    <w:rsid w:val="00BB6A15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3678"/>
    <w:rsid w:val="00BF4162"/>
    <w:rsid w:val="00BF63C1"/>
    <w:rsid w:val="00BF68C9"/>
    <w:rsid w:val="00BF6E4E"/>
    <w:rsid w:val="00C04712"/>
    <w:rsid w:val="00C04D91"/>
    <w:rsid w:val="00C076A4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719"/>
    <w:rsid w:val="00C22C9C"/>
    <w:rsid w:val="00C22F7D"/>
    <w:rsid w:val="00C23AFC"/>
    <w:rsid w:val="00C23DA4"/>
    <w:rsid w:val="00C2410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3073"/>
    <w:rsid w:val="00C83414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1E90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1DDC"/>
    <w:rsid w:val="00D7340F"/>
    <w:rsid w:val="00D75428"/>
    <w:rsid w:val="00D75599"/>
    <w:rsid w:val="00D80559"/>
    <w:rsid w:val="00D824E7"/>
    <w:rsid w:val="00D836CC"/>
    <w:rsid w:val="00D8434E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3F2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3B15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D7F82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DF6BB4"/>
    <w:rsid w:val="00E01327"/>
    <w:rsid w:val="00E02964"/>
    <w:rsid w:val="00E05101"/>
    <w:rsid w:val="00E10C21"/>
    <w:rsid w:val="00E11CA2"/>
    <w:rsid w:val="00E14280"/>
    <w:rsid w:val="00E1487D"/>
    <w:rsid w:val="00E20C21"/>
    <w:rsid w:val="00E20CDC"/>
    <w:rsid w:val="00E2270D"/>
    <w:rsid w:val="00E22B2A"/>
    <w:rsid w:val="00E22DA1"/>
    <w:rsid w:val="00E23F6B"/>
    <w:rsid w:val="00E256FC"/>
    <w:rsid w:val="00E2761F"/>
    <w:rsid w:val="00E30058"/>
    <w:rsid w:val="00E309D6"/>
    <w:rsid w:val="00E34495"/>
    <w:rsid w:val="00E35B5D"/>
    <w:rsid w:val="00E36398"/>
    <w:rsid w:val="00E363C9"/>
    <w:rsid w:val="00E41E0C"/>
    <w:rsid w:val="00E46C07"/>
    <w:rsid w:val="00E50247"/>
    <w:rsid w:val="00E50E56"/>
    <w:rsid w:val="00E52295"/>
    <w:rsid w:val="00E5280E"/>
    <w:rsid w:val="00E558F3"/>
    <w:rsid w:val="00E57EBE"/>
    <w:rsid w:val="00E60E28"/>
    <w:rsid w:val="00E62BAC"/>
    <w:rsid w:val="00E62D80"/>
    <w:rsid w:val="00E65429"/>
    <w:rsid w:val="00E67EBC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40BE"/>
    <w:rsid w:val="00EB55D9"/>
    <w:rsid w:val="00EC08C5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4C28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32E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6265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52CC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3A29"/>
    <w:rsid w:val="00F9467E"/>
    <w:rsid w:val="00F94F2F"/>
    <w:rsid w:val="00F97507"/>
    <w:rsid w:val="00FA2DAB"/>
    <w:rsid w:val="00FA3ACE"/>
    <w:rsid w:val="00FB21E9"/>
    <w:rsid w:val="00FB5783"/>
    <w:rsid w:val="00FB6102"/>
    <w:rsid w:val="00FC04B0"/>
    <w:rsid w:val="00FC04F1"/>
    <w:rsid w:val="00FC174D"/>
    <w:rsid w:val="00FC2CCA"/>
    <w:rsid w:val="00FC2FC0"/>
    <w:rsid w:val="00FC3158"/>
    <w:rsid w:val="00FC38EE"/>
    <w:rsid w:val="00FC40D6"/>
    <w:rsid w:val="00FC420F"/>
    <w:rsid w:val="00FC5286"/>
    <w:rsid w:val="00FC5BC1"/>
    <w:rsid w:val="00FD2228"/>
    <w:rsid w:val="00FD51C8"/>
    <w:rsid w:val="00FE0444"/>
    <w:rsid w:val="00FE0C0C"/>
    <w:rsid w:val="00FE2B57"/>
    <w:rsid w:val="00FE3B66"/>
    <w:rsid w:val="00FE5A24"/>
    <w:rsid w:val="00FF09C5"/>
    <w:rsid w:val="00FF3C8A"/>
    <w:rsid w:val="00FF4B38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4BBF4"/>
  <w15:chartTrackingRefBased/>
  <w15:docId w15:val="{1CCD668D-E6C3-4379-9899-EFE8FF55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86AE9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880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53574 Staff</vt:lpstr>
    </vt:vector>
  </TitlesOfParts>
  <Manager/>
  <Company>Public Utility Commission of Texas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53574 Staff</dc:title>
  <dc:subject/>
  <dc:creator>Bernice Cox</dc:creator>
  <cp:keywords>pleading</cp:keywords>
  <dc:description>Commission Staff’s</dc:description>
  <cp:lastModifiedBy>Tyler Xu</cp:lastModifiedBy>
  <cp:revision>65</cp:revision>
  <cp:lastPrinted>2006-01-30T16:46:00Z</cp:lastPrinted>
  <dcterms:created xsi:type="dcterms:W3CDTF">2024-09-20T14:50:00Z</dcterms:created>
  <dcterms:modified xsi:type="dcterms:W3CDTF">2024-09-30T13:54:00Z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56272</vt:r8>
  </property>
  <property fmtid="{D5CDD505-2E9C-101B-9397-08002B2CF9AE}" pid="3" name="DocStyle" linkTarget="DocumentStyle">
    <vt:lpwstr>COMPLIANCE DOCKET OF SJWTX, INC. RELATED TO RATE-CASE EXPENSE SURCHARGE IN DOCKET NO. 49887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56272 </vt:lpwstr>
  </property>
  <property fmtid="{D5CDD505-2E9C-101B-9397-08002B2CF9AE}" pid="6" name="Control Number" linkTarget="DocNo">
    <vt:r8>56272</vt:r8>
  </property>
</Properties>
</file>